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48BA4479" w:rsidR="00CD4C7B" w:rsidRPr="00B266B0" w:rsidRDefault="00CD4C7B" w:rsidP="00CD4C7B">
      <w:pPr>
        <w:pStyle w:val="a3"/>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EE022B">
        <w:rPr>
          <w:noProof w:val="0"/>
          <w:sz w:val="24"/>
          <w:szCs w:val="24"/>
        </w:rPr>
        <w:t>7</w:t>
      </w:r>
      <w:r w:rsidR="00741EC5">
        <w:rPr>
          <w:noProof w:val="0"/>
          <w:sz w:val="24"/>
          <w:szCs w:val="24"/>
        </w:rPr>
        <w:t>-e</w:t>
      </w:r>
      <w:r w:rsidRPr="00B266B0">
        <w:rPr>
          <w:bCs/>
          <w:noProof w:val="0"/>
          <w:sz w:val="24"/>
          <w:szCs w:val="24"/>
        </w:rPr>
        <w:tab/>
      </w:r>
      <w:bookmarkStart w:id="1" w:name="_GoBack"/>
      <w:r w:rsidR="00C92571" w:rsidRPr="00C92571">
        <w:rPr>
          <w:bCs/>
          <w:noProof w:val="0"/>
          <w:sz w:val="24"/>
          <w:szCs w:val="24"/>
        </w:rPr>
        <w:t>R3-224768</w:t>
      </w:r>
      <w:bookmarkEnd w:id="1"/>
    </w:p>
    <w:p w14:paraId="1822B173" w14:textId="1B9A9B8E" w:rsidR="00CD4C7B" w:rsidRPr="00B1063A" w:rsidRDefault="00797D4B" w:rsidP="00CD4C7B">
      <w:pPr>
        <w:pStyle w:val="a3"/>
        <w:tabs>
          <w:tab w:val="right" w:pos="9639"/>
        </w:tabs>
        <w:rPr>
          <w:bCs/>
          <w:noProof w:val="0"/>
          <w:sz w:val="24"/>
          <w:szCs w:val="24"/>
          <w:lang w:val="en-US"/>
        </w:rPr>
      </w:pPr>
      <w:bookmarkStart w:id="2" w:name="_Hlk490060723"/>
      <w:r>
        <w:rPr>
          <w:rFonts w:cs="Arial"/>
          <w:sz w:val="24"/>
          <w:szCs w:val="24"/>
          <w:lang w:val="en-US"/>
        </w:rPr>
        <w:t>E-meeting</w:t>
      </w:r>
      <w:r w:rsidR="001370F2" w:rsidRPr="00B1063A">
        <w:rPr>
          <w:rFonts w:cs="Arial"/>
          <w:sz w:val="24"/>
          <w:szCs w:val="24"/>
          <w:lang w:val="en-US"/>
        </w:rPr>
        <w:t xml:space="preserve">, </w:t>
      </w:r>
      <w:bookmarkEnd w:id="2"/>
      <w:r w:rsidR="00EE022B">
        <w:rPr>
          <w:rFonts w:cs="Arial"/>
          <w:sz w:val="24"/>
          <w:szCs w:val="24"/>
        </w:rPr>
        <w:t>15</w:t>
      </w:r>
      <w:r w:rsidR="006B36A5" w:rsidRPr="006B36A5">
        <w:rPr>
          <w:rFonts w:cs="Arial"/>
          <w:sz w:val="24"/>
          <w:szCs w:val="24"/>
        </w:rPr>
        <w:t xml:space="preserve"> – </w:t>
      </w:r>
      <w:r w:rsidR="00EE022B">
        <w:rPr>
          <w:rFonts w:cs="Arial"/>
          <w:sz w:val="24"/>
          <w:szCs w:val="24"/>
        </w:rPr>
        <w:t>24 Aug</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a3"/>
        <w:rPr>
          <w:bCs/>
          <w:noProof w:val="0"/>
          <w:sz w:val="24"/>
          <w:lang w:val="en-US"/>
        </w:rPr>
      </w:pPr>
    </w:p>
    <w:p w14:paraId="0717E73E" w14:textId="77777777" w:rsidR="00CD4C7B" w:rsidRPr="00B1063A" w:rsidRDefault="00CD4C7B" w:rsidP="00CD4C7B">
      <w:pPr>
        <w:pStyle w:val="a3"/>
        <w:rPr>
          <w:bCs/>
          <w:noProof w:val="0"/>
          <w:sz w:val="24"/>
          <w:lang w:val="en-US"/>
        </w:rPr>
      </w:pPr>
    </w:p>
    <w:p w14:paraId="3B0EF5F6" w14:textId="760ACE49"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42065">
        <w:rPr>
          <w:rFonts w:cs="Arial"/>
          <w:b/>
          <w:bCs/>
          <w:sz w:val="24"/>
          <w:lang w:val="en-US" w:eastAsia="ja-JP"/>
        </w:rPr>
        <w:t>13.</w:t>
      </w:r>
      <w:r w:rsidR="00DE532C">
        <w:rPr>
          <w:rFonts w:cs="Arial"/>
          <w:b/>
          <w:bCs/>
          <w:sz w:val="24"/>
          <w:lang w:val="en-US" w:eastAsia="ja-JP"/>
        </w:rPr>
        <w:t>3</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7625663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5FD6">
        <w:rPr>
          <w:rFonts w:ascii="Arial" w:hAnsi="Arial" w:cs="Arial"/>
          <w:b/>
          <w:bCs/>
          <w:sz w:val="24"/>
        </w:rPr>
        <w:t xml:space="preserve">Discussion on </w:t>
      </w:r>
      <w:r w:rsidR="00DE532C">
        <w:rPr>
          <w:rFonts w:ascii="Arial" w:hAnsi="Arial" w:cs="Arial"/>
          <w:b/>
          <w:bCs/>
          <w:sz w:val="24"/>
        </w:rPr>
        <w:t>group mobility</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A4CE0A" w14:textId="0852CA82" w:rsidR="00C805B8" w:rsidRDefault="00CD4C7B" w:rsidP="00E51135">
      <w:pPr>
        <w:pStyle w:val="1"/>
      </w:pPr>
      <w:r w:rsidRPr="006E13D1">
        <w:t>1</w:t>
      </w:r>
      <w:r w:rsidRPr="006E13D1">
        <w:tab/>
      </w:r>
      <w:r w:rsidR="0056573F">
        <w:t>Introduction</w:t>
      </w:r>
    </w:p>
    <w:p w14:paraId="1350E9C0" w14:textId="52B9338F" w:rsidR="00B6745D" w:rsidRDefault="00DE532C" w:rsidP="00CD4C7B">
      <w:r>
        <w:t xml:space="preserve">In R18 </w:t>
      </w:r>
      <w:proofErr w:type="spellStart"/>
      <w:r>
        <w:t>mIAB</w:t>
      </w:r>
      <w:proofErr w:type="spellEnd"/>
      <w:r>
        <w:t xml:space="preserve"> WID, the following objective about group mobility should be supported. </w:t>
      </w:r>
    </w:p>
    <w:p w14:paraId="15D81062" w14:textId="77777777" w:rsidR="00DE532C" w:rsidRPr="00C92571" w:rsidRDefault="00DE532C" w:rsidP="00DE532C">
      <w:pPr>
        <w:pStyle w:val="maintext"/>
        <w:ind w:firstLineChars="0" w:firstLine="0"/>
        <w:rPr>
          <w:rFonts w:eastAsia="MS Mincho" w:cs="Calibri"/>
          <w:i/>
          <w:color w:val="FF0000"/>
          <w:szCs w:val="16"/>
          <w:lang w:eastAsia="en-US"/>
        </w:rPr>
      </w:pPr>
      <w:r w:rsidRPr="00C92571">
        <w:rPr>
          <w:rFonts w:eastAsia="MS Mincho" w:cs="Calibri"/>
          <w:i/>
          <w:color w:val="FF0000"/>
          <w:szCs w:val="16"/>
          <w:lang w:eastAsia="en-US"/>
        </w:rPr>
        <w:t xml:space="preserve">Enhancements for mobility of an IAB-node together with </w:t>
      </w:r>
      <w:proofErr w:type="gramStart"/>
      <w:r w:rsidRPr="00C92571">
        <w:rPr>
          <w:rFonts w:eastAsia="MS Mincho" w:cs="Calibri"/>
          <w:i/>
          <w:color w:val="FF0000"/>
          <w:szCs w:val="16"/>
          <w:lang w:eastAsia="en-US"/>
        </w:rPr>
        <w:t>its</w:t>
      </w:r>
      <w:proofErr w:type="gramEnd"/>
      <w:r w:rsidRPr="00C92571">
        <w:rPr>
          <w:rFonts w:eastAsia="MS Mincho" w:cs="Calibri"/>
          <w:i/>
          <w:color w:val="FF0000"/>
          <w:szCs w:val="16"/>
          <w:lang w:eastAsia="en-US"/>
        </w:rPr>
        <w:t xml:space="preserve"> served UEs, including aspects related to group mobility. No optimizations for the targeting of surrounding UEs. [RAN3, RAN2]</w:t>
      </w:r>
    </w:p>
    <w:p w14:paraId="37E8CA4B" w14:textId="1CF94E95" w:rsidR="00DE532C" w:rsidRPr="00C92571" w:rsidRDefault="00DE532C" w:rsidP="00DE532C">
      <w:pPr>
        <w:rPr>
          <w:sz w:val="24"/>
        </w:rPr>
      </w:pPr>
      <w:r w:rsidRPr="00C92571">
        <w:rPr>
          <w:rFonts w:eastAsia="MS Mincho" w:cs="Calibri"/>
          <w:i/>
          <w:color w:val="FF0000"/>
          <w:szCs w:val="16"/>
        </w:rPr>
        <w:t>Note: Solutions should avoid touching upon topics where Rel-17 discussions already occurred and where the topic was excluded from Rel-17, except for enhancements that are specific to IAB-node mobility.</w:t>
      </w:r>
    </w:p>
    <w:p w14:paraId="144980D5" w14:textId="67062F70" w:rsidR="00DE532C" w:rsidRPr="00B6745D" w:rsidRDefault="00244585" w:rsidP="00CD4C7B">
      <w:r>
        <w:t>In this contribution, we’d like to</w:t>
      </w:r>
      <w:r w:rsidR="001D77D4">
        <w:t xml:space="preserve"> discuss the group mobility only</w:t>
      </w:r>
      <w:r>
        <w:t xml:space="preserve"> focus</w:t>
      </w:r>
      <w:r w:rsidR="001D77D4">
        <w:t>ed</w:t>
      </w:r>
      <w:r>
        <w:t xml:space="preserve"> on the</w:t>
      </w:r>
      <w:r w:rsidR="001D77D4">
        <w:t xml:space="preserve"> </w:t>
      </w:r>
      <w:r>
        <w:t xml:space="preserve">handover of an IAB-node together with </w:t>
      </w:r>
      <w:proofErr w:type="gramStart"/>
      <w:r>
        <w:t>its</w:t>
      </w:r>
      <w:proofErr w:type="gramEnd"/>
      <w:r>
        <w:t xml:space="preserve"> served UEs between IAB-donors</w:t>
      </w:r>
      <w:r w:rsidR="00C92571">
        <w:t>, i.e. during UE migration</w:t>
      </w:r>
      <w:r w:rsidR="001D77D4">
        <w:t>. For the scenario of UE handover between mobile IAB node and stationary RAN or between mobile IAB-nodes, we prefer to use legacy UE handover procedure instead of group mobility, as it depends on the UE behaviour instead of IAB-node migration</w:t>
      </w:r>
      <w:r w:rsidR="00C92571">
        <w:t>.</w:t>
      </w:r>
    </w:p>
    <w:p w14:paraId="479DA40B" w14:textId="77777777" w:rsidR="00CD4C7B" w:rsidRPr="006E13D1" w:rsidRDefault="00CD4C7B" w:rsidP="00CD4C7B">
      <w:pPr>
        <w:pStyle w:val="1"/>
      </w:pPr>
      <w:r w:rsidRPr="006E13D1">
        <w:t>2</w:t>
      </w:r>
      <w:r w:rsidRPr="006E13D1">
        <w:tab/>
      </w:r>
      <w:r w:rsidR="00972FD7">
        <w:t>Discussion</w:t>
      </w:r>
    </w:p>
    <w:p w14:paraId="45E57CC9" w14:textId="74FE305B" w:rsidR="00DE532C" w:rsidRDefault="00244585" w:rsidP="004E6C01">
      <w:pPr>
        <w:rPr>
          <w:szCs w:val="21"/>
        </w:rPr>
      </w:pPr>
      <w:bookmarkStart w:id="3" w:name="_Hlk109747344"/>
      <w:r>
        <w:rPr>
          <w:szCs w:val="21"/>
        </w:rPr>
        <w:t xml:space="preserve">In our understanding, the aim of the group mobility is to reduce the signalling overhead, and </w:t>
      </w:r>
      <w:r w:rsidR="002A5A81">
        <w:rPr>
          <w:szCs w:val="21"/>
        </w:rPr>
        <w:t>avoid</w:t>
      </w:r>
      <w:r>
        <w:rPr>
          <w:szCs w:val="21"/>
        </w:rPr>
        <w:t xml:space="preserve"> the conflict when multiple UEs try to access to </w:t>
      </w:r>
      <w:r w:rsidR="002A5A81">
        <w:rPr>
          <w:szCs w:val="21"/>
        </w:rPr>
        <w:t>a same</w:t>
      </w:r>
      <w:r>
        <w:rPr>
          <w:szCs w:val="21"/>
        </w:rPr>
        <w:t xml:space="preserve"> cell</w:t>
      </w:r>
      <w:r w:rsidR="002A5A81">
        <w:rPr>
          <w:szCs w:val="21"/>
        </w:rPr>
        <w:t xml:space="preserve"> at the same time</w:t>
      </w:r>
      <w:r>
        <w:rPr>
          <w:szCs w:val="21"/>
        </w:rPr>
        <w:t xml:space="preserve">. </w:t>
      </w:r>
      <w:r w:rsidR="00DE532C">
        <w:rPr>
          <w:szCs w:val="21"/>
        </w:rPr>
        <w:t>As we discussed in IAB full migration in [</w:t>
      </w:r>
      <w:r w:rsidR="001D77D4">
        <w:rPr>
          <w:szCs w:val="21"/>
        </w:rPr>
        <w:t>1</w:t>
      </w:r>
      <w:r w:rsidR="00DE532C">
        <w:rPr>
          <w:szCs w:val="21"/>
        </w:rPr>
        <w:t xml:space="preserve">], </w:t>
      </w:r>
      <w:r>
        <w:rPr>
          <w:szCs w:val="21"/>
        </w:rPr>
        <w:t>given that</w:t>
      </w:r>
      <w:r w:rsidR="00DE532C">
        <w:rPr>
          <w:szCs w:val="21"/>
        </w:rPr>
        <w:t xml:space="preserve"> two logical DUs will be used for DU migration and alt 1 </w:t>
      </w:r>
      <w:r w:rsidR="00C92571">
        <w:rPr>
          <w:szCs w:val="21"/>
        </w:rPr>
        <w:t xml:space="preserve">is </w:t>
      </w:r>
      <w:r w:rsidR="00DE532C">
        <w:rPr>
          <w:szCs w:val="21"/>
        </w:rPr>
        <w:t>used (i.e. two logical DUs use different physical resources)</w:t>
      </w:r>
      <w:r>
        <w:rPr>
          <w:szCs w:val="21"/>
        </w:rPr>
        <w:t>, from UE perspective, the target cell and source cell during UE migration are two different cells, but the target cell and</w:t>
      </w:r>
      <w:r w:rsidR="00C92571">
        <w:rPr>
          <w:szCs w:val="21"/>
        </w:rPr>
        <w:t xml:space="preserve"> the</w:t>
      </w:r>
      <w:r>
        <w:rPr>
          <w:szCs w:val="21"/>
        </w:rPr>
        <w:t xml:space="preserve"> source cell have something in common as they belong to the same IAB-node.</w:t>
      </w:r>
      <w:r w:rsidRPr="00244585">
        <w:rPr>
          <w:szCs w:val="21"/>
        </w:rPr>
        <w:t xml:space="preserve"> </w:t>
      </w:r>
      <w:r w:rsidR="002A5A81">
        <w:rPr>
          <w:szCs w:val="21"/>
        </w:rPr>
        <w:t>With that,</w:t>
      </w:r>
      <w:r>
        <w:rPr>
          <w:szCs w:val="21"/>
        </w:rPr>
        <w:t xml:space="preserve"> we think the general principle</w:t>
      </w:r>
      <w:r w:rsidR="002A5A81">
        <w:rPr>
          <w:szCs w:val="21"/>
        </w:rPr>
        <w:t>s</w:t>
      </w:r>
      <w:r>
        <w:rPr>
          <w:szCs w:val="21"/>
        </w:rPr>
        <w:t xml:space="preserve"> of group mobility </w:t>
      </w:r>
      <w:r w:rsidR="002A5A81">
        <w:rPr>
          <w:szCs w:val="21"/>
        </w:rPr>
        <w:t>are</w:t>
      </w:r>
      <w:r>
        <w:rPr>
          <w:szCs w:val="21"/>
        </w:rPr>
        <w:t xml:space="preserve"> to avoid</w:t>
      </w:r>
      <w:r w:rsidR="002A5A81">
        <w:rPr>
          <w:szCs w:val="21"/>
        </w:rPr>
        <w:t xml:space="preserve"> transferring the</w:t>
      </w:r>
      <w:r>
        <w:rPr>
          <w:szCs w:val="21"/>
        </w:rPr>
        <w:t xml:space="preserve"> duplicated </w:t>
      </w:r>
      <w:r w:rsidR="002A5A81">
        <w:rPr>
          <w:szCs w:val="21"/>
        </w:rPr>
        <w:t>or known</w:t>
      </w:r>
      <w:r w:rsidR="00C92571">
        <w:rPr>
          <w:szCs w:val="21"/>
        </w:rPr>
        <w:t xml:space="preserve"> information</w:t>
      </w:r>
      <w:r w:rsidR="002A5A81">
        <w:rPr>
          <w:szCs w:val="21"/>
        </w:rPr>
        <w:t xml:space="preserve"> </w:t>
      </w:r>
      <w:r>
        <w:rPr>
          <w:szCs w:val="21"/>
        </w:rPr>
        <w:t>to reduce signalling overhead</w:t>
      </w:r>
      <w:r w:rsidR="002A5A81">
        <w:rPr>
          <w:szCs w:val="21"/>
        </w:rPr>
        <w:t>,</w:t>
      </w:r>
      <w:r>
        <w:rPr>
          <w:szCs w:val="21"/>
        </w:rPr>
        <w:t xml:space="preserve"> and </w:t>
      </w:r>
      <w:r w:rsidR="002A5A81">
        <w:rPr>
          <w:szCs w:val="21"/>
        </w:rPr>
        <w:t xml:space="preserve">to </w:t>
      </w:r>
      <w:r>
        <w:rPr>
          <w:szCs w:val="21"/>
        </w:rPr>
        <w:t xml:space="preserve">use the known info to avoid the handover conflict. </w:t>
      </w:r>
    </w:p>
    <w:p w14:paraId="68FE958A" w14:textId="0B9DF5F3" w:rsidR="00244585" w:rsidRPr="00244585" w:rsidRDefault="00244585" w:rsidP="004E6C01">
      <w:pPr>
        <w:rPr>
          <w:b/>
          <w:szCs w:val="21"/>
        </w:rPr>
      </w:pPr>
      <w:r w:rsidRPr="00244585">
        <w:rPr>
          <w:b/>
          <w:szCs w:val="21"/>
        </w:rPr>
        <w:t>Observation</w:t>
      </w:r>
      <w:r w:rsidR="001D77D4">
        <w:rPr>
          <w:b/>
          <w:szCs w:val="21"/>
        </w:rPr>
        <w:t xml:space="preserve"> 1</w:t>
      </w:r>
      <w:r w:rsidRPr="00244585">
        <w:rPr>
          <w:b/>
          <w:szCs w:val="21"/>
        </w:rPr>
        <w:t>, the aim of group mobility is to reduce signalling overhead and to avoid UE conflict when multiple UE access to the new cell at the same time.</w:t>
      </w:r>
    </w:p>
    <w:p w14:paraId="3F5F7AA7" w14:textId="4DEC171E" w:rsidR="00244585" w:rsidRPr="00244585" w:rsidRDefault="00244585" w:rsidP="004E6C01">
      <w:pPr>
        <w:rPr>
          <w:b/>
          <w:szCs w:val="21"/>
        </w:rPr>
      </w:pPr>
      <w:r w:rsidRPr="00244585">
        <w:rPr>
          <w:b/>
          <w:szCs w:val="21"/>
        </w:rPr>
        <w:t>Observation</w:t>
      </w:r>
      <w:r w:rsidR="001D77D4">
        <w:rPr>
          <w:b/>
          <w:szCs w:val="21"/>
        </w:rPr>
        <w:t xml:space="preserve"> 2</w:t>
      </w:r>
      <w:r w:rsidRPr="00244585">
        <w:rPr>
          <w:b/>
          <w:szCs w:val="21"/>
        </w:rPr>
        <w:t>, the principle</w:t>
      </w:r>
      <w:r w:rsidR="00C92571">
        <w:rPr>
          <w:b/>
          <w:szCs w:val="21"/>
        </w:rPr>
        <w:t>s</w:t>
      </w:r>
      <w:r w:rsidRPr="00244585">
        <w:rPr>
          <w:b/>
          <w:szCs w:val="21"/>
        </w:rPr>
        <w:t xml:space="preserve"> of group mobility </w:t>
      </w:r>
      <w:r w:rsidR="00C92571">
        <w:rPr>
          <w:b/>
          <w:szCs w:val="21"/>
        </w:rPr>
        <w:t>are</w:t>
      </w:r>
      <w:r w:rsidRPr="00244585">
        <w:rPr>
          <w:b/>
          <w:szCs w:val="21"/>
        </w:rPr>
        <w:t xml:space="preserve"> to </w:t>
      </w:r>
      <w:r w:rsidR="002A5A81" w:rsidRPr="002A5A81">
        <w:rPr>
          <w:b/>
          <w:szCs w:val="21"/>
        </w:rPr>
        <w:t>avoid transfer</w:t>
      </w:r>
      <w:r w:rsidR="002A5A81">
        <w:rPr>
          <w:b/>
          <w:szCs w:val="21"/>
        </w:rPr>
        <w:t>ring</w:t>
      </w:r>
      <w:r w:rsidR="002A5A81" w:rsidRPr="002A5A81">
        <w:rPr>
          <w:b/>
          <w:szCs w:val="21"/>
        </w:rPr>
        <w:t xml:space="preserve"> the duplicated or known </w:t>
      </w:r>
      <w:r w:rsidR="002A5A81">
        <w:rPr>
          <w:b/>
          <w:szCs w:val="21"/>
        </w:rPr>
        <w:t xml:space="preserve">information </w:t>
      </w:r>
      <w:r w:rsidR="002A5A81" w:rsidRPr="002A5A81">
        <w:rPr>
          <w:b/>
          <w:szCs w:val="21"/>
        </w:rPr>
        <w:t>to reduce signalling overhead, and to use the known info to avoid the handover conflict</w:t>
      </w:r>
      <w:r w:rsidRPr="00244585">
        <w:rPr>
          <w:b/>
          <w:szCs w:val="21"/>
        </w:rPr>
        <w:t>.</w:t>
      </w:r>
    </w:p>
    <w:p w14:paraId="45BB4DAA" w14:textId="11477AC9" w:rsidR="00244585" w:rsidRDefault="00244585" w:rsidP="004E6C01">
      <w:pPr>
        <w:rPr>
          <w:szCs w:val="21"/>
        </w:rPr>
      </w:pPr>
      <w:r>
        <w:rPr>
          <w:szCs w:val="21"/>
        </w:rPr>
        <w:t>If group mobility is use</w:t>
      </w:r>
      <w:r w:rsidR="00C92571">
        <w:rPr>
          <w:szCs w:val="21"/>
        </w:rPr>
        <w:t xml:space="preserve">d </w:t>
      </w:r>
      <w:r w:rsidR="00171C2B">
        <w:rPr>
          <w:szCs w:val="21"/>
        </w:rPr>
        <w:t xml:space="preserve">in </w:t>
      </w:r>
      <w:r w:rsidR="00C92571">
        <w:rPr>
          <w:szCs w:val="21"/>
        </w:rPr>
        <w:t>UE</w:t>
      </w:r>
      <w:r w:rsidR="00171C2B">
        <w:rPr>
          <w:szCs w:val="21"/>
        </w:rPr>
        <w:t xml:space="preserve"> migration</w:t>
      </w:r>
      <w:r w:rsidR="00C92571">
        <w:rPr>
          <w:szCs w:val="21"/>
        </w:rPr>
        <w:t xml:space="preserve"> within the procedure of full migration</w:t>
      </w:r>
      <w:r>
        <w:rPr>
          <w:szCs w:val="21"/>
        </w:rPr>
        <w:t>, the following issues should be considered based on the above principle</w:t>
      </w:r>
      <w:r w:rsidR="00C92571">
        <w:rPr>
          <w:szCs w:val="21"/>
        </w:rPr>
        <w:t>s</w:t>
      </w:r>
      <w:r w:rsidR="00171C2B">
        <w:rPr>
          <w:szCs w:val="21"/>
        </w:rPr>
        <w:t>.</w:t>
      </w:r>
    </w:p>
    <w:p w14:paraId="65B6F274" w14:textId="4D5E37A9" w:rsidR="00244585" w:rsidRPr="002A5A81" w:rsidRDefault="00244585" w:rsidP="004E6C01">
      <w:pPr>
        <w:rPr>
          <w:i/>
          <w:szCs w:val="21"/>
          <w:u w:val="single"/>
        </w:rPr>
      </w:pPr>
      <w:r w:rsidRPr="002A5A81">
        <w:rPr>
          <w:i/>
          <w:szCs w:val="21"/>
          <w:u w:val="single"/>
        </w:rPr>
        <w:t xml:space="preserve">Issue 1, </w:t>
      </w:r>
      <w:r w:rsidR="002A5A81" w:rsidRPr="002A5A81">
        <w:rPr>
          <w:i/>
          <w:szCs w:val="21"/>
          <w:u w:val="single"/>
        </w:rPr>
        <w:t>what is the general procedure for group mobility</w:t>
      </w:r>
      <w:r w:rsidR="002A5A81">
        <w:rPr>
          <w:i/>
          <w:szCs w:val="21"/>
          <w:u w:val="single"/>
        </w:rPr>
        <w:t>?</w:t>
      </w:r>
    </w:p>
    <w:p w14:paraId="7834931A" w14:textId="7D498EC5" w:rsidR="002A5A81" w:rsidRDefault="002A5A81" w:rsidP="004E6C01">
      <w:pPr>
        <w:rPr>
          <w:szCs w:val="21"/>
        </w:rPr>
      </w:pPr>
      <w:r>
        <w:rPr>
          <w:szCs w:val="21"/>
        </w:rPr>
        <w:t xml:space="preserve">In our view, even it’s for group mobility, the basic phases for mobility are the same as single UE mobility, i.e. handover preparation phase, handover execution phase and path switch phase. </w:t>
      </w:r>
    </w:p>
    <w:p w14:paraId="09F72284" w14:textId="6BF69538" w:rsidR="002A5A81" w:rsidRPr="002A5A81" w:rsidRDefault="002A5A81" w:rsidP="004E6C01">
      <w:pPr>
        <w:rPr>
          <w:b/>
          <w:szCs w:val="21"/>
        </w:rPr>
      </w:pPr>
      <w:r w:rsidRPr="002A5A81">
        <w:rPr>
          <w:b/>
          <w:szCs w:val="21"/>
        </w:rPr>
        <w:t>Proposal</w:t>
      </w:r>
      <w:r w:rsidR="001D77D4">
        <w:rPr>
          <w:b/>
          <w:szCs w:val="21"/>
        </w:rPr>
        <w:t xml:space="preserve"> 1</w:t>
      </w:r>
      <w:r w:rsidRPr="002A5A81">
        <w:rPr>
          <w:b/>
          <w:szCs w:val="21"/>
        </w:rPr>
        <w:t>, RAN3 agree the following phases for group mobility</w:t>
      </w:r>
    </w:p>
    <w:p w14:paraId="74274AA8" w14:textId="39E3FB0D" w:rsidR="002A5A81" w:rsidRPr="002A5A81" w:rsidRDefault="002A5A81" w:rsidP="002A5A81">
      <w:pPr>
        <w:pStyle w:val="a9"/>
        <w:numPr>
          <w:ilvl w:val="0"/>
          <w:numId w:val="15"/>
        </w:numPr>
        <w:spacing w:after="120"/>
        <w:ind w:leftChars="0" w:left="714" w:hanging="357"/>
        <w:rPr>
          <w:rFonts w:ascii="Times New Roman" w:hAnsi="Times New Roman"/>
          <w:b/>
          <w:sz w:val="20"/>
          <w:szCs w:val="21"/>
        </w:rPr>
      </w:pPr>
      <w:r w:rsidRPr="002A5A81">
        <w:rPr>
          <w:rFonts w:ascii="Times New Roman" w:hAnsi="Times New Roman"/>
          <w:b/>
          <w:sz w:val="20"/>
          <w:szCs w:val="21"/>
        </w:rPr>
        <w:t>Group handover preparation phase</w:t>
      </w:r>
    </w:p>
    <w:p w14:paraId="7A22ECDF" w14:textId="71532435" w:rsidR="002A5A81" w:rsidRPr="002A5A81" w:rsidRDefault="002A5A81" w:rsidP="002A5A81">
      <w:pPr>
        <w:pStyle w:val="a9"/>
        <w:numPr>
          <w:ilvl w:val="0"/>
          <w:numId w:val="15"/>
        </w:numPr>
        <w:spacing w:after="120"/>
        <w:ind w:leftChars="0" w:left="714" w:hanging="357"/>
        <w:rPr>
          <w:rFonts w:ascii="Times New Roman" w:hAnsi="Times New Roman"/>
          <w:b/>
          <w:sz w:val="20"/>
          <w:szCs w:val="21"/>
        </w:rPr>
      </w:pPr>
      <w:r w:rsidRPr="002A5A81">
        <w:rPr>
          <w:rFonts w:ascii="Times New Roman" w:hAnsi="Times New Roman"/>
          <w:b/>
          <w:sz w:val="20"/>
          <w:szCs w:val="21"/>
        </w:rPr>
        <w:t>Group handover execution phase</w:t>
      </w:r>
    </w:p>
    <w:p w14:paraId="1DA0FD11" w14:textId="793AAD5B" w:rsidR="002A5A81" w:rsidRDefault="002A5A81" w:rsidP="002A5A81">
      <w:pPr>
        <w:pStyle w:val="a9"/>
        <w:numPr>
          <w:ilvl w:val="0"/>
          <w:numId w:val="15"/>
        </w:numPr>
        <w:spacing w:after="120"/>
        <w:ind w:leftChars="0" w:left="714" w:hanging="357"/>
        <w:rPr>
          <w:rFonts w:ascii="Times New Roman" w:hAnsi="Times New Roman"/>
          <w:b/>
          <w:sz w:val="20"/>
          <w:szCs w:val="21"/>
        </w:rPr>
      </w:pPr>
      <w:r w:rsidRPr="002A5A81">
        <w:rPr>
          <w:rFonts w:ascii="Times New Roman" w:hAnsi="Times New Roman"/>
          <w:b/>
          <w:sz w:val="20"/>
          <w:szCs w:val="21"/>
        </w:rPr>
        <w:t>Group path switch phase</w:t>
      </w:r>
    </w:p>
    <w:p w14:paraId="5B197EA8" w14:textId="4967E8C2" w:rsidR="00C92571" w:rsidRPr="002A5A81" w:rsidRDefault="00C92571" w:rsidP="002A5A81">
      <w:pPr>
        <w:pStyle w:val="a9"/>
        <w:numPr>
          <w:ilvl w:val="0"/>
          <w:numId w:val="15"/>
        </w:numPr>
        <w:spacing w:after="120"/>
        <w:ind w:leftChars="0" w:left="714" w:hanging="357"/>
        <w:rPr>
          <w:rFonts w:ascii="Times New Roman" w:hAnsi="Times New Roman"/>
          <w:b/>
          <w:sz w:val="20"/>
          <w:szCs w:val="21"/>
        </w:rPr>
      </w:pPr>
      <w:r>
        <w:rPr>
          <w:rFonts w:ascii="Times New Roman" w:hAnsi="Times New Roman"/>
          <w:b/>
          <w:sz w:val="20"/>
          <w:szCs w:val="21"/>
        </w:rPr>
        <w:t>Group context release</w:t>
      </w:r>
    </w:p>
    <w:p w14:paraId="7DF6B840" w14:textId="6E1D46B7" w:rsidR="00171C2B" w:rsidRDefault="002A5A81" w:rsidP="00171C2B">
      <w:pPr>
        <w:rPr>
          <w:szCs w:val="21"/>
        </w:rPr>
      </w:pPr>
      <w:r>
        <w:rPr>
          <w:szCs w:val="21"/>
        </w:rPr>
        <w:lastRenderedPageBreak/>
        <w:t>For the above phases, we think the group handover preparation phase</w:t>
      </w:r>
      <w:r w:rsidR="00C92571">
        <w:rPr>
          <w:szCs w:val="21"/>
        </w:rPr>
        <w:t xml:space="preserve">, </w:t>
      </w:r>
      <w:r>
        <w:rPr>
          <w:szCs w:val="21"/>
        </w:rPr>
        <w:t>group path switch phase</w:t>
      </w:r>
      <w:r w:rsidR="00C92571">
        <w:rPr>
          <w:szCs w:val="21"/>
        </w:rPr>
        <w:t xml:space="preserve"> and group context release phase</w:t>
      </w:r>
      <w:r>
        <w:rPr>
          <w:szCs w:val="21"/>
        </w:rPr>
        <w:t xml:space="preserve"> are in RAN3 scope and should be discussed in RAN3 first</w:t>
      </w:r>
      <w:r w:rsidR="00C92571">
        <w:rPr>
          <w:szCs w:val="21"/>
        </w:rPr>
        <w:t>, and for handover execution phase, which is in RAN2 scope, RAN3 can discuss it based on the outcome of RAN2.</w:t>
      </w:r>
    </w:p>
    <w:p w14:paraId="66D6FC5B" w14:textId="77777777" w:rsidR="00C92571" w:rsidRDefault="00C92571" w:rsidP="00C92571">
      <w:pPr>
        <w:spacing w:after="120"/>
        <w:rPr>
          <w:b/>
          <w:szCs w:val="21"/>
          <w:lang w:val="en-US"/>
        </w:rPr>
      </w:pPr>
      <w:r w:rsidRPr="001D77D4">
        <w:rPr>
          <w:b/>
          <w:szCs w:val="21"/>
          <w:lang w:val="en-US"/>
        </w:rPr>
        <w:t>Proposal 2, RAN3 discuss group handover preparation phase</w:t>
      </w:r>
      <w:r>
        <w:rPr>
          <w:b/>
          <w:szCs w:val="21"/>
          <w:lang w:val="en-US"/>
        </w:rPr>
        <w:t>,</w:t>
      </w:r>
      <w:r w:rsidRPr="001D77D4">
        <w:rPr>
          <w:b/>
          <w:szCs w:val="21"/>
          <w:lang w:val="en-US"/>
        </w:rPr>
        <w:t xml:space="preserve"> group path switch phase </w:t>
      </w:r>
      <w:r>
        <w:rPr>
          <w:b/>
          <w:szCs w:val="21"/>
          <w:lang w:val="en-US"/>
        </w:rPr>
        <w:t xml:space="preserve">and group context release phase </w:t>
      </w:r>
      <w:r w:rsidRPr="001D77D4">
        <w:rPr>
          <w:b/>
          <w:szCs w:val="21"/>
          <w:lang w:val="en-US"/>
        </w:rPr>
        <w:t>first and then discuss group execution phase based on the outcome of RAN2.</w:t>
      </w:r>
    </w:p>
    <w:p w14:paraId="28D1C68D" w14:textId="06F2382E" w:rsidR="00171C2B" w:rsidRDefault="00171C2B" w:rsidP="00171C2B">
      <w:pPr>
        <w:rPr>
          <w:i/>
          <w:szCs w:val="21"/>
          <w:u w:val="single"/>
        </w:rPr>
      </w:pPr>
      <w:r w:rsidRPr="00697E26">
        <w:rPr>
          <w:i/>
          <w:szCs w:val="21"/>
          <w:u w:val="single"/>
        </w:rPr>
        <w:t xml:space="preserve">Issue </w:t>
      </w:r>
      <w:r w:rsidR="002A5A81">
        <w:rPr>
          <w:i/>
          <w:szCs w:val="21"/>
          <w:u w:val="single"/>
        </w:rPr>
        <w:t>2</w:t>
      </w:r>
      <w:r w:rsidRPr="00697E26">
        <w:rPr>
          <w:i/>
          <w:szCs w:val="21"/>
          <w:u w:val="single"/>
        </w:rPr>
        <w:t xml:space="preserve">, </w:t>
      </w:r>
      <w:r w:rsidR="002A5A81">
        <w:rPr>
          <w:i/>
          <w:szCs w:val="21"/>
          <w:u w:val="single"/>
        </w:rPr>
        <w:t xml:space="preserve">how </w:t>
      </w:r>
      <w:r w:rsidR="00C92571">
        <w:rPr>
          <w:i/>
          <w:szCs w:val="21"/>
          <w:u w:val="single"/>
        </w:rPr>
        <w:t xml:space="preserve">are </w:t>
      </w:r>
      <w:r w:rsidR="008C2420">
        <w:rPr>
          <w:i/>
          <w:szCs w:val="21"/>
          <w:u w:val="single"/>
        </w:rPr>
        <w:t>the UEs grouped</w:t>
      </w:r>
      <w:r>
        <w:rPr>
          <w:i/>
          <w:szCs w:val="21"/>
          <w:u w:val="single"/>
        </w:rPr>
        <w:t>?</w:t>
      </w:r>
    </w:p>
    <w:p w14:paraId="4CD5AA0E" w14:textId="25047A7C" w:rsidR="008C2420" w:rsidRDefault="008C2420" w:rsidP="00171C2B">
      <w:pPr>
        <w:rPr>
          <w:szCs w:val="21"/>
        </w:rPr>
      </w:pPr>
      <w:r>
        <w:rPr>
          <w:szCs w:val="21"/>
        </w:rPr>
        <w:t xml:space="preserve">Regarding how </w:t>
      </w:r>
      <w:r w:rsidR="00C92571">
        <w:rPr>
          <w:szCs w:val="21"/>
        </w:rPr>
        <w:t>the</w:t>
      </w:r>
      <w:r>
        <w:rPr>
          <w:szCs w:val="21"/>
        </w:rPr>
        <w:t xml:space="preserve"> UE</w:t>
      </w:r>
      <w:r w:rsidR="00C92571">
        <w:rPr>
          <w:szCs w:val="21"/>
        </w:rPr>
        <w:t>s are grouped</w:t>
      </w:r>
      <w:r>
        <w:rPr>
          <w:szCs w:val="21"/>
        </w:rPr>
        <w:t xml:space="preserve">, we should find the common thing for </w:t>
      </w:r>
      <w:r w:rsidR="00C92571">
        <w:rPr>
          <w:szCs w:val="21"/>
        </w:rPr>
        <w:t>those</w:t>
      </w:r>
      <w:r>
        <w:rPr>
          <w:szCs w:val="21"/>
        </w:rPr>
        <w:t xml:space="preserve"> UEs. </w:t>
      </w:r>
      <w:r w:rsidRPr="008C2420">
        <w:rPr>
          <w:szCs w:val="21"/>
        </w:rPr>
        <w:t>For</w:t>
      </w:r>
      <w:r>
        <w:rPr>
          <w:szCs w:val="21"/>
        </w:rPr>
        <w:t xml:space="preserve"> group preparation phase, UE</w:t>
      </w:r>
      <w:r w:rsidR="00C92571">
        <w:rPr>
          <w:szCs w:val="21"/>
        </w:rPr>
        <w:t>s</w:t>
      </w:r>
      <w:r>
        <w:rPr>
          <w:szCs w:val="21"/>
        </w:rPr>
        <w:t xml:space="preserve"> served by the same logical cell can be grouped, as they share the same cell configuration which is known by IAB-node itself. For group path switch phase, UE</w:t>
      </w:r>
      <w:r w:rsidR="00C92571">
        <w:rPr>
          <w:szCs w:val="21"/>
        </w:rPr>
        <w:t>s</w:t>
      </w:r>
      <w:r>
        <w:rPr>
          <w:szCs w:val="21"/>
        </w:rPr>
        <w:t xml:space="preserve"> served by the same AMF can be grouped as they can notify the same AMF at the same time about the path switch and the DL transmission info is the same as well. Furthermore, considering the UEs may access the new cell in relative different time with different pathloss/TA, the UEs with </w:t>
      </w:r>
      <w:r w:rsidR="00C92571">
        <w:rPr>
          <w:szCs w:val="21"/>
        </w:rPr>
        <w:t>similar</w:t>
      </w:r>
      <w:r>
        <w:rPr>
          <w:szCs w:val="21"/>
        </w:rPr>
        <w:t xml:space="preserve"> path loss/TA can be grouped for group path switch so that the DL transmission will not be delayed due to waiting for all the UEs’ access. </w:t>
      </w:r>
    </w:p>
    <w:p w14:paraId="7B501027" w14:textId="2914F25B" w:rsidR="008C2420" w:rsidRPr="008C2420" w:rsidRDefault="008C2420" w:rsidP="00171C2B">
      <w:pPr>
        <w:rPr>
          <w:b/>
          <w:szCs w:val="21"/>
        </w:rPr>
      </w:pPr>
      <w:r w:rsidRPr="008C2420">
        <w:rPr>
          <w:b/>
          <w:szCs w:val="21"/>
        </w:rPr>
        <w:t>Proposal</w:t>
      </w:r>
      <w:r w:rsidR="001D77D4">
        <w:rPr>
          <w:b/>
          <w:szCs w:val="21"/>
        </w:rPr>
        <w:t xml:space="preserve"> 3</w:t>
      </w:r>
      <w:r w:rsidRPr="008C2420">
        <w:rPr>
          <w:b/>
          <w:szCs w:val="21"/>
        </w:rPr>
        <w:t>, RAN3 agree the following principles for group mobility</w:t>
      </w:r>
    </w:p>
    <w:p w14:paraId="0297DAF3" w14:textId="23BC09EC" w:rsidR="008C2420" w:rsidRPr="002A5A81" w:rsidRDefault="008C2420" w:rsidP="008C2420">
      <w:pPr>
        <w:pStyle w:val="a9"/>
        <w:numPr>
          <w:ilvl w:val="0"/>
          <w:numId w:val="15"/>
        </w:numPr>
        <w:spacing w:after="120"/>
        <w:ind w:leftChars="0" w:left="714" w:hanging="357"/>
        <w:rPr>
          <w:rFonts w:ascii="Times New Roman" w:hAnsi="Times New Roman"/>
          <w:b/>
          <w:sz w:val="20"/>
          <w:szCs w:val="21"/>
        </w:rPr>
      </w:pPr>
      <w:r w:rsidRPr="008C2420">
        <w:rPr>
          <w:rFonts w:ascii="Times New Roman" w:hAnsi="Times New Roman"/>
          <w:b/>
          <w:sz w:val="20"/>
          <w:szCs w:val="21"/>
        </w:rPr>
        <w:t xml:space="preserve">UEs </w:t>
      </w:r>
      <w:r>
        <w:rPr>
          <w:rFonts w:ascii="Times New Roman" w:hAnsi="Times New Roman"/>
          <w:b/>
          <w:sz w:val="20"/>
          <w:szCs w:val="21"/>
        </w:rPr>
        <w:t>served by the same cell can be grouped in g</w:t>
      </w:r>
      <w:r w:rsidRPr="002A5A81">
        <w:rPr>
          <w:rFonts w:ascii="Times New Roman" w:hAnsi="Times New Roman"/>
          <w:b/>
          <w:sz w:val="20"/>
          <w:szCs w:val="21"/>
        </w:rPr>
        <w:t>roup handover preparation phase</w:t>
      </w:r>
    </w:p>
    <w:p w14:paraId="16B758F9" w14:textId="67CFF365" w:rsidR="008C2420" w:rsidRDefault="008C2420" w:rsidP="008C2420">
      <w:pPr>
        <w:pStyle w:val="a9"/>
        <w:numPr>
          <w:ilvl w:val="0"/>
          <w:numId w:val="15"/>
        </w:numPr>
        <w:spacing w:after="120"/>
        <w:ind w:leftChars="0" w:left="714" w:hanging="357"/>
        <w:rPr>
          <w:rFonts w:ascii="Times New Roman" w:hAnsi="Times New Roman"/>
          <w:b/>
          <w:sz w:val="20"/>
          <w:szCs w:val="21"/>
        </w:rPr>
      </w:pPr>
      <w:r>
        <w:rPr>
          <w:rFonts w:ascii="Times New Roman" w:hAnsi="Times New Roman"/>
          <w:b/>
          <w:sz w:val="20"/>
          <w:szCs w:val="21"/>
        </w:rPr>
        <w:t>UEs served by the same AMF can be grouped in g</w:t>
      </w:r>
      <w:r w:rsidRPr="002A5A81">
        <w:rPr>
          <w:rFonts w:ascii="Times New Roman" w:hAnsi="Times New Roman"/>
          <w:b/>
          <w:sz w:val="20"/>
          <w:szCs w:val="21"/>
        </w:rPr>
        <w:t>roup path switch phase</w:t>
      </w:r>
    </w:p>
    <w:p w14:paraId="18AA4135" w14:textId="1B3930E0" w:rsidR="001D77D4" w:rsidRPr="00F6620F" w:rsidRDefault="008C2420" w:rsidP="008C2420">
      <w:pPr>
        <w:pStyle w:val="a9"/>
        <w:numPr>
          <w:ilvl w:val="0"/>
          <w:numId w:val="15"/>
        </w:numPr>
        <w:spacing w:after="120"/>
        <w:ind w:leftChars="0" w:left="714" w:hanging="357"/>
        <w:rPr>
          <w:rFonts w:ascii="Times New Roman" w:hAnsi="Times New Roman"/>
          <w:b/>
          <w:sz w:val="20"/>
          <w:szCs w:val="21"/>
        </w:rPr>
      </w:pPr>
      <w:r>
        <w:rPr>
          <w:rFonts w:ascii="Times New Roman" w:hAnsi="Times New Roman"/>
          <w:b/>
          <w:sz w:val="20"/>
          <w:szCs w:val="21"/>
        </w:rPr>
        <w:t>UEs with similar pathloss can be grouped in g</w:t>
      </w:r>
      <w:r w:rsidRPr="002A5A81">
        <w:rPr>
          <w:rFonts w:ascii="Times New Roman" w:hAnsi="Times New Roman"/>
          <w:b/>
          <w:sz w:val="20"/>
          <w:szCs w:val="21"/>
        </w:rPr>
        <w:t>roup path switch phase</w:t>
      </w:r>
    </w:p>
    <w:p w14:paraId="38AFC8E3" w14:textId="7C14CD80" w:rsidR="001265F8" w:rsidRPr="001D77D4" w:rsidRDefault="001D77D4" w:rsidP="001D77D4">
      <w:pPr>
        <w:rPr>
          <w:szCs w:val="21"/>
        </w:rPr>
      </w:pPr>
      <w:r w:rsidRPr="001D77D4">
        <w:rPr>
          <w:szCs w:val="21"/>
        </w:rPr>
        <w:t>Regarding the detail signalling design, we prefer to discuss it when we have a clear stage 2 procedure and principle</w:t>
      </w:r>
      <w:r w:rsidR="00F6620F">
        <w:rPr>
          <w:szCs w:val="21"/>
        </w:rPr>
        <w:t>s</w:t>
      </w:r>
      <w:r w:rsidRPr="001D77D4">
        <w:rPr>
          <w:szCs w:val="21"/>
        </w:rPr>
        <w:t xml:space="preserve"> for </w:t>
      </w:r>
      <w:r>
        <w:rPr>
          <w:szCs w:val="21"/>
        </w:rPr>
        <w:t>group mobility</w:t>
      </w:r>
      <w:r w:rsidRPr="001D77D4">
        <w:rPr>
          <w:szCs w:val="21"/>
        </w:rPr>
        <w:t>.</w:t>
      </w:r>
      <w:bookmarkEnd w:id="3"/>
    </w:p>
    <w:p w14:paraId="0D110258" w14:textId="77777777" w:rsidR="00CD4C7B" w:rsidRPr="006E13D1" w:rsidRDefault="00972FD7" w:rsidP="00CD4C7B">
      <w:pPr>
        <w:pStyle w:val="1"/>
      </w:pPr>
      <w:r>
        <w:t>3</w:t>
      </w:r>
      <w:r w:rsidR="00CD4C7B" w:rsidRPr="006E13D1">
        <w:tab/>
      </w:r>
      <w:r>
        <w:t>Conclusion</w:t>
      </w:r>
    </w:p>
    <w:p w14:paraId="6093981F" w14:textId="2508C39B" w:rsidR="00CD4C7B" w:rsidRDefault="00ED0D91" w:rsidP="00CD4C7B">
      <w:r>
        <w:t>We have made the following proposals:</w:t>
      </w:r>
    </w:p>
    <w:p w14:paraId="2FC2E2EA" w14:textId="77777777" w:rsidR="00C92571" w:rsidRPr="00244585" w:rsidRDefault="00C92571" w:rsidP="00C92571">
      <w:pPr>
        <w:rPr>
          <w:b/>
          <w:szCs w:val="21"/>
        </w:rPr>
      </w:pPr>
      <w:r w:rsidRPr="00244585">
        <w:rPr>
          <w:b/>
          <w:szCs w:val="21"/>
        </w:rPr>
        <w:t>Observation</w:t>
      </w:r>
      <w:r>
        <w:rPr>
          <w:b/>
          <w:szCs w:val="21"/>
        </w:rPr>
        <w:t xml:space="preserve"> 1</w:t>
      </w:r>
      <w:r w:rsidRPr="00244585">
        <w:rPr>
          <w:b/>
          <w:szCs w:val="21"/>
        </w:rPr>
        <w:t>, the aim of group mobility is to reduce signalling overhead and to avoid UE conflict when multiple UE access to the new cell at the same time.</w:t>
      </w:r>
    </w:p>
    <w:p w14:paraId="25F47F43" w14:textId="1673F2EA" w:rsidR="00C92571" w:rsidRDefault="00C92571" w:rsidP="001D77D4">
      <w:pPr>
        <w:rPr>
          <w:b/>
          <w:szCs w:val="21"/>
        </w:rPr>
      </w:pPr>
      <w:r w:rsidRPr="00244585">
        <w:rPr>
          <w:b/>
          <w:szCs w:val="21"/>
        </w:rPr>
        <w:t>Observation</w:t>
      </w:r>
      <w:r>
        <w:rPr>
          <w:b/>
          <w:szCs w:val="21"/>
        </w:rPr>
        <w:t xml:space="preserve"> 2</w:t>
      </w:r>
      <w:r w:rsidRPr="00244585">
        <w:rPr>
          <w:b/>
          <w:szCs w:val="21"/>
        </w:rPr>
        <w:t>, the principle</w:t>
      </w:r>
      <w:r>
        <w:rPr>
          <w:b/>
          <w:szCs w:val="21"/>
        </w:rPr>
        <w:t>s</w:t>
      </w:r>
      <w:r w:rsidRPr="00244585">
        <w:rPr>
          <w:b/>
          <w:szCs w:val="21"/>
        </w:rPr>
        <w:t xml:space="preserve"> of group mobility </w:t>
      </w:r>
      <w:r>
        <w:rPr>
          <w:b/>
          <w:szCs w:val="21"/>
        </w:rPr>
        <w:t>are</w:t>
      </w:r>
      <w:r w:rsidRPr="00244585">
        <w:rPr>
          <w:b/>
          <w:szCs w:val="21"/>
        </w:rPr>
        <w:t xml:space="preserve"> to </w:t>
      </w:r>
      <w:r w:rsidRPr="002A5A81">
        <w:rPr>
          <w:b/>
          <w:szCs w:val="21"/>
        </w:rPr>
        <w:t>avoid transfer</w:t>
      </w:r>
      <w:r>
        <w:rPr>
          <w:b/>
          <w:szCs w:val="21"/>
        </w:rPr>
        <w:t>ring</w:t>
      </w:r>
      <w:r w:rsidRPr="002A5A81">
        <w:rPr>
          <w:b/>
          <w:szCs w:val="21"/>
        </w:rPr>
        <w:t xml:space="preserve"> the duplicated or known </w:t>
      </w:r>
      <w:r>
        <w:rPr>
          <w:b/>
          <w:szCs w:val="21"/>
        </w:rPr>
        <w:t xml:space="preserve">information </w:t>
      </w:r>
      <w:r w:rsidRPr="002A5A81">
        <w:rPr>
          <w:b/>
          <w:szCs w:val="21"/>
        </w:rPr>
        <w:t>to reduce signalling overhead, and to use the known info to avoid the handover conflict</w:t>
      </w:r>
      <w:r w:rsidRPr="00244585">
        <w:rPr>
          <w:b/>
          <w:szCs w:val="21"/>
        </w:rPr>
        <w:t>.</w:t>
      </w:r>
    </w:p>
    <w:p w14:paraId="31DE80EE" w14:textId="4EFB9E4B" w:rsidR="001D77D4" w:rsidRPr="002A5A81" w:rsidRDefault="001D77D4" w:rsidP="001D77D4">
      <w:pPr>
        <w:rPr>
          <w:b/>
          <w:szCs w:val="21"/>
        </w:rPr>
      </w:pPr>
      <w:r w:rsidRPr="002A5A81">
        <w:rPr>
          <w:b/>
          <w:szCs w:val="21"/>
        </w:rPr>
        <w:t>Proposal</w:t>
      </w:r>
      <w:r>
        <w:rPr>
          <w:b/>
          <w:szCs w:val="21"/>
        </w:rPr>
        <w:t xml:space="preserve"> 1</w:t>
      </w:r>
      <w:r w:rsidRPr="002A5A81">
        <w:rPr>
          <w:b/>
          <w:szCs w:val="21"/>
        </w:rPr>
        <w:t>, RAN3 agree the following phases for group mobility</w:t>
      </w:r>
    </w:p>
    <w:p w14:paraId="4005001B" w14:textId="77777777" w:rsidR="001D77D4" w:rsidRPr="002A5A81" w:rsidRDefault="001D77D4" w:rsidP="001D77D4">
      <w:pPr>
        <w:pStyle w:val="a9"/>
        <w:numPr>
          <w:ilvl w:val="0"/>
          <w:numId w:val="15"/>
        </w:numPr>
        <w:spacing w:after="120"/>
        <w:ind w:leftChars="0" w:left="714" w:hanging="357"/>
        <w:rPr>
          <w:rFonts w:ascii="Times New Roman" w:hAnsi="Times New Roman"/>
          <w:b/>
          <w:sz w:val="20"/>
          <w:szCs w:val="21"/>
        </w:rPr>
      </w:pPr>
      <w:r w:rsidRPr="002A5A81">
        <w:rPr>
          <w:rFonts w:ascii="Times New Roman" w:hAnsi="Times New Roman"/>
          <w:b/>
          <w:sz w:val="20"/>
          <w:szCs w:val="21"/>
        </w:rPr>
        <w:t>Group handover preparation phase</w:t>
      </w:r>
    </w:p>
    <w:p w14:paraId="1AE1D6E4" w14:textId="77777777" w:rsidR="001D77D4" w:rsidRPr="002A5A81" w:rsidRDefault="001D77D4" w:rsidP="001D77D4">
      <w:pPr>
        <w:pStyle w:val="a9"/>
        <w:numPr>
          <w:ilvl w:val="0"/>
          <w:numId w:val="15"/>
        </w:numPr>
        <w:spacing w:after="120"/>
        <w:ind w:leftChars="0" w:left="714" w:hanging="357"/>
        <w:rPr>
          <w:rFonts w:ascii="Times New Roman" w:hAnsi="Times New Roman"/>
          <w:b/>
          <w:sz w:val="20"/>
          <w:szCs w:val="21"/>
        </w:rPr>
      </w:pPr>
      <w:r w:rsidRPr="002A5A81">
        <w:rPr>
          <w:rFonts w:ascii="Times New Roman" w:hAnsi="Times New Roman"/>
          <w:b/>
          <w:sz w:val="20"/>
          <w:szCs w:val="21"/>
        </w:rPr>
        <w:t>Group handover execution phase</w:t>
      </w:r>
    </w:p>
    <w:p w14:paraId="64FD9C74" w14:textId="235597CE" w:rsidR="001D77D4" w:rsidRDefault="001D77D4" w:rsidP="001D77D4">
      <w:pPr>
        <w:pStyle w:val="a9"/>
        <w:numPr>
          <w:ilvl w:val="0"/>
          <w:numId w:val="15"/>
        </w:numPr>
        <w:spacing w:after="120"/>
        <w:ind w:leftChars="0" w:left="714" w:hanging="357"/>
        <w:rPr>
          <w:rFonts w:ascii="Times New Roman" w:hAnsi="Times New Roman"/>
          <w:b/>
          <w:sz w:val="20"/>
          <w:szCs w:val="21"/>
        </w:rPr>
      </w:pPr>
      <w:r w:rsidRPr="002A5A81">
        <w:rPr>
          <w:rFonts w:ascii="Times New Roman" w:hAnsi="Times New Roman"/>
          <w:b/>
          <w:sz w:val="20"/>
          <w:szCs w:val="21"/>
        </w:rPr>
        <w:t>Group path switch phase</w:t>
      </w:r>
    </w:p>
    <w:p w14:paraId="25AD9061" w14:textId="636D03ED" w:rsidR="00C92571" w:rsidRPr="00C92571" w:rsidRDefault="00C92571" w:rsidP="00C92571">
      <w:pPr>
        <w:pStyle w:val="a9"/>
        <w:numPr>
          <w:ilvl w:val="0"/>
          <w:numId w:val="15"/>
        </w:numPr>
        <w:spacing w:after="120"/>
        <w:ind w:leftChars="0" w:left="714" w:hanging="357"/>
        <w:rPr>
          <w:rFonts w:ascii="Times New Roman" w:hAnsi="Times New Roman"/>
          <w:b/>
          <w:sz w:val="20"/>
          <w:szCs w:val="21"/>
        </w:rPr>
      </w:pPr>
      <w:r>
        <w:rPr>
          <w:rFonts w:ascii="Times New Roman" w:hAnsi="Times New Roman"/>
          <w:b/>
          <w:sz w:val="20"/>
          <w:szCs w:val="21"/>
        </w:rPr>
        <w:t>Group context release</w:t>
      </w:r>
    </w:p>
    <w:p w14:paraId="7420D99A" w14:textId="6EC04894" w:rsidR="001D77D4" w:rsidRDefault="001D77D4" w:rsidP="001D77D4">
      <w:pPr>
        <w:spacing w:after="120"/>
        <w:rPr>
          <w:b/>
          <w:szCs w:val="21"/>
          <w:lang w:val="en-US"/>
        </w:rPr>
      </w:pPr>
      <w:r w:rsidRPr="001D77D4">
        <w:rPr>
          <w:b/>
          <w:szCs w:val="21"/>
          <w:lang w:val="en-US"/>
        </w:rPr>
        <w:t>Proposal 2, RAN3 discuss group handover preparation phase</w:t>
      </w:r>
      <w:r w:rsidR="00C92571">
        <w:rPr>
          <w:b/>
          <w:szCs w:val="21"/>
          <w:lang w:val="en-US"/>
        </w:rPr>
        <w:t>,</w:t>
      </w:r>
      <w:r w:rsidRPr="001D77D4">
        <w:rPr>
          <w:b/>
          <w:szCs w:val="21"/>
          <w:lang w:val="en-US"/>
        </w:rPr>
        <w:t xml:space="preserve"> group path switch phase </w:t>
      </w:r>
      <w:r w:rsidR="00C92571">
        <w:rPr>
          <w:b/>
          <w:szCs w:val="21"/>
          <w:lang w:val="en-US"/>
        </w:rPr>
        <w:t xml:space="preserve">and group context release phase </w:t>
      </w:r>
      <w:r w:rsidRPr="001D77D4">
        <w:rPr>
          <w:b/>
          <w:szCs w:val="21"/>
          <w:lang w:val="en-US"/>
        </w:rPr>
        <w:t>first and then discuss group execution phase based on the outcome of RAN2.</w:t>
      </w:r>
    </w:p>
    <w:p w14:paraId="1DE2AAFA" w14:textId="77777777" w:rsidR="001D77D4" w:rsidRPr="008C2420" w:rsidRDefault="001D77D4" w:rsidP="001D77D4">
      <w:pPr>
        <w:rPr>
          <w:b/>
          <w:szCs w:val="21"/>
        </w:rPr>
      </w:pPr>
      <w:r w:rsidRPr="008C2420">
        <w:rPr>
          <w:b/>
          <w:szCs w:val="21"/>
        </w:rPr>
        <w:t>Proposal</w:t>
      </w:r>
      <w:r>
        <w:rPr>
          <w:b/>
          <w:szCs w:val="21"/>
        </w:rPr>
        <w:t xml:space="preserve"> 3</w:t>
      </w:r>
      <w:r w:rsidRPr="008C2420">
        <w:rPr>
          <w:b/>
          <w:szCs w:val="21"/>
        </w:rPr>
        <w:t>, RAN3 agree the following principles for group mobility</w:t>
      </w:r>
    </w:p>
    <w:p w14:paraId="1BC5F42B" w14:textId="77777777" w:rsidR="001D77D4" w:rsidRPr="002A5A81" w:rsidRDefault="001D77D4" w:rsidP="001D77D4">
      <w:pPr>
        <w:pStyle w:val="a9"/>
        <w:numPr>
          <w:ilvl w:val="0"/>
          <w:numId w:val="15"/>
        </w:numPr>
        <w:spacing w:after="120"/>
        <w:ind w:leftChars="0" w:left="714" w:hanging="357"/>
        <w:rPr>
          <w:rFonts w:ascii="Times New Roman" w:hAnsi="Times New Roman"/>
          <w:b/>
          <w:sz w:val="20"/>
          <w:szCs w:val="21"/>
        </w:rPr>
      </w:pPr>
      <w:r w:rsidRPr="008C2420">
        <w:rPr>
          <w:rFonts w:ascii="Times New Roman" w:hAnsi="Times New Roman"/>
          <w:b/>
          <w:sz w:val="20"/>
          <w:szCs w:val="21"/>
        </w:rPr>
        <w:t xml:space="preserve">UEs </w:t>
      </w:r>
      <w:r>
        <w:rPr>
          <w:rFonts w:ascii="Times New Roman" w:hAnsi="Times New Roman"/>
          <w:b/>
          <w:sz w:val="20"/>
          <w:szCs w:val="21"/>
        </w:rPr>
        <w:t>served by the same cell can be grouped in g</w:t>
      </w:r>
      <w:r w:rsidRPr="002A5A81">
        <w:rPr>
          <w:rFonts w:ascii="Times New Roman" w:hAnsi="Times New Roman"/>
          <w:b/>
          <w:sz w:val="20"/>
          <w:szCs w:val="21"/>
        </w:rPr>
        <w:t>roup handover preparation phase</w:t>
      </w:r>
    </w:p>
    <w:p w14:paraId="1434C3B4" w14:textId="77777777" w:rsidR="001D77D4" w:rsidRDefault="001D77D4" w:rsidP="001D77D4">
      <w:pPr>
        <w:pStyle w:val="a9"/>
        <w:numPr>
          <w:ilvl w:val="0"/>
          <w:numId w:val="15"/>
        </w:numPr>
        <w:spacing w:after="120"/>
        <w:ind w:leftChars="0" w:left="714" w:hanging="357"/>
        <w:rPr>
          <w:rFonts w:ascii="Times New Roman" w:hAnsi="Times New Roman"/>
          <w:b/>
          <w:sz w:val="20"/>
          <w:szCs w:val="21"/>
        </w:rPr>
      </w:pPr>
      <w:r>
        <w:rPr>
          <w:rFonts w:ascii="Times New Roman" w:hAnsi="Times New Roman"/>
          <w:b/>
          <w:sz w:val="20"/>
          <w:szCs w:val="21"/>
        </w:rPr>
        <w:t>UEs served by the same AMF can be grouped in g</w:t>
      </w:r>
      <w:r w:rsidRPr="002A5A81">
        <w:rPr>
          <w:rFonts w:ascii="Times New Roman" w:hAnsi="Times New Roman"/>
          <w:b/>
          <w:sz w:val="20"/>
          <w:szCs w:val="21"/>
        </w:rPr>
        <w:t>roup path switch phase</w:t>
      </w:r>
    </w:p>
    <w:p w14:paraId="061CE750" w14:textId="2BB12AE3" w:rsidR="001D77D4" w:rsidRPr="001D77D4" w:rsidRDefault="001D77D4" w:rsidP="001D77D4">
      <w:pPr>
        <w:pStyle w:val="a9"/>
        <w:numPr>
          <w:ilvl w:val="0"/>
          <w:numId w:val="15"/>
        </w:numPr>
        <w:spacing w:after="120"/>
        <w:ind w:leftChars="0" w:left="714" w:hanging="357"/>
        <w:rPr>
          <w:rFonts w:ascii="Times New Roman" w:hAnsi="Times New Roman"/>
          <w:b/>
          <w:sz w:val="20"/>
          <w:szCs w:val="21"/>
        </w:rPr>
      </w:pPr>
      <w:r>
        <w:rPr>
          <w:rFonts w:ascii="Times New Roman" w:hAnsi="Times New Roman"/>
          <w:b/>
          <w:sz w:val="20"/>
          <w:szCs w:val="21"/>
        </w:rPr>
        <w:t>UEs with similar pathloss can be grouped in g</w:t>
      </w:r>
      <w:r w:rsidRPr="002A5A81">
        <w:rPr>
          <w:rFonts w:ascii="Times New Roman" w:hAnsi="Times New Roman"/>
          <w:b/>
          <w:sz w:val="20"/>
          <w:szCs w:val="21"/>
        </w:rPr>
        <w:t>roup path switch phase</w:t>
      </w:r>
    </w:p>
    <w:p w14:paraId="193FD945" w14:textId="41EEED5D" w:rsidR="00CD4C7B" w:rsidRPr="006E13D1" w:rsidRDefault="00342065" w:rsidP="00CD4C7B">
      <w:pPr>
        <w:pStyle w:val="1"/>
      </w:pPr>
      <w:r>
        <w:t>4</w:t>
      </w:r>
      <w:r>
        <w:tab/>
      </w:r>
      <w:r w:rsidR="00CD4C7B" w:rsidRPr="006E13D1">
        <w:t>References</w:t>
      </w:r>
    </w:p>
    <w:p w14:paraId="7B1F56F9" w14:textId="4910DD00" w:rsidR="001265F8" w:rsidRPr="006E13D1" w:rsidRDefault="00C55EB7" w:rsidP="001265F8">
      <w:pPr>
        <w:overflowPunct w:val="0"/>
        <w:autoSpaceDE w:val="0"/>
        <w:autoSpaceDN w:val="0"/>
        <w:adjustRightInd w:val="0"/>
        <w:ind w:left="567" w:hanging="567"/>
        <w:textAlignment w:val="baseline"/>
      </w:pPr>
      <w:bookmarkStart w:id="4" w:name="_Ref75086397"/>
      <w:r>
        <w:t>[1]</w:t>
      </w:r>
      <w:r>
        <w:tab/>
      </w:r>
      <w:r w:rsidR="00F6620F" w:rsidRPr="00F6620F">
        <w:t>R3-224767</w:t>
      </w:r>
      <w:r w:rsidR="00F6620F">
        <w:t xml:space="preserve">, </w:t>
      </w:r>
      <w:r w:rsidR="00F6620F" w:rsidRPr="00F6620F">
        <w:t>Discussion on IAB full migration</w:t>
      </w:r>
      <w:r w:rsidR="00F6620F">
        <w:t>, Xiaomi</w:t>
      </w:r>
    </w:p>
    <w:bookmarkEnd w:id="4"/>
    <w:p w14:paraId="079C0D43" w14:textId="18A70E52" w:rsidR="001D77D4" w:rsidRPr="00CD4C7B" w:rsidRDefault="001D77D4" w:rsidP="001D77D4">
      <w:pPr>
        <w:overflowPunct w:val="0"/>
        <w:autoSpaceDE w:val="0"/>
        <w:autoSpaceDN w:val="0"/>
        <w:adjustRightInd w:val="0"/>
        <w:textAlignment w:val="baseline"/>
      </w:pPr>
    </w:p>
    <w:p w14:paraId="0BA2BD6A" w14:textId="424517C4" w:rsidR="00080512" w:rsidRPr="00CD4C7B" w:rsidRDefault="00080512" w:rsidP="00587958">
      <w:pPr>
        <w:overflowPunct w:val="0"/>
        <w:autoSpaceDE w:val="0"/>
        <w:autoSpaceDN w:val="0"/>
        <w:adjustRightInd w:val="0"/>
        <w:ind w:left="567" w:hanging="567"/>
        <w:textAlignment w:val="baseline"/>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A38ED" w14:textId="77777777" w:rsidR="0003796B" w:rsidRDefault="0003796B">
      <w:r>
        <w:separator/>
      </w:r>
    </w:p>
  </w:endnote>
  <w:endnote w:type="continuationSeparator" w:id="0">
    <w:p w14:paraId="68AED053" w14:textId="77777777" w:rsidR="0003796B" w:rsidRDefault="00037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08F02" w14:textId="77777777" w:rsidR="0003796B" w:rsidRDefault="0003796B">
      <w:r>
        <w:separator/>
      </w:r>
    </w:p>
  </w:footnote>
  <w:footnote w:type="continuationSeparator" w:id="0">
    <w:p w14:paraId="067153A5" w14:textId="77777777" w:rsidR="0003796B" w:rsidRDefault="00037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3124F4"/>
    <w:multiLevelType w:val="hybridMultilevel"/>
    <w:tmpl w:val="D86ADF86"/>
    <w:lvl w:ilvl="0" w:tplc="666A869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25E245D"/>
    <w:multiLevelType w:val="hybridMultilevel"/>
    <w:tmpl w:val="074C55AA"/>
    <w:lvl w:ilvl="0" w:tplc="879618FE">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6196CE8"/>
    <w:multiLevelType w:val="hybridMultilevel"/>
    <w:tmpl w:val="456EF9EA"/>
    <w:lvl w:ilvl="0" w:tplc="E6A4DDF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2"/>
  </w:num>
  <w:num w:numId="6">
    <w:abstractNumId w:val="5"/>
  </w:num>
  <w:num w:numId="7">
    <w:abstractNumId w:val="10"/>
  </w:num>
  <w:num w:numId="8">
    <w:abstractNumId w:val="11"/>
  </w:num>
  <w:num w:numId="9">
    <w:abstractNumId w:val="6"/>
  </w:num>
  <w:num w:numId="10">
    <w:abstractNumId w:val="9"/>
  </w:num>
  <w:num w:numId="11">
    <w:abstractNumId w:val="3"/>
  </w:num>
  <w:num w:numId="12">
    <w:abstractNumId w:val="8"/>
  </w:num>
  <w:num w:numId="13">
    <w:abstractNumId w:val="7"/>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21025"/>
    <w:rsid w:val="00033397"/>
    <w:rsid w:val="000342C7"/>
    <w:rsid w:val="0003796B"/>
    <w:rsid w:val="00040095"/>
    <w:rsid w:val="0005563E"/>
    <w:rsid w:val="00080512"/>
    <w:rsid w:val="00083F0D"/>
    <w:rsid w:val="000904E9"/>
    <w:rsid w:val="000B7BCF"/>
    <w:rsid w:val="000C1506"/>
    <w:rsid w:val="000C556D"/>
    <w:rsid w:val="000D376D"/>
    <w:rsid w:val="000D58AB"/>
    <w:rsid w:val="000F1DB2"/>
    <w:rsid w:val="001075B7"/>
    <w:rsid w:val="001265F8"/>
    <w:rsid w:val="0013262A"/>
    <w:rsid w:val="001370F2"/>
    <w:rsid w:val="001549DD"/>
    <w:rsid w:val="00155FF2"/>
    <w:rsid w:val="00171C2B"/>
    <w:rsid w:val="0017527C"/>
    <w:rsid w:val="00190CAC"/>
    <w:rsid w:val="00194CD0"/>
    <w:rsid w:val="001B08B3"/>
    <w:rsid w:val="001C4281"/>
    <w:rsid w:val="001D0D3F"/>
    <w:rsid w:val="001D77D4"/>
    <w:rsid w:val="001E39D1"/>
    <w:rsid w:val="001E6294"/>
    <w:rsid w:val="001F168B"/>
    <w:rsid w:val="001F70B7"/>
    <w:rsid w:val="00225F6D"/>
    <w:rsid w:val="0022606D"/>
    <w:rsid w:val="002305DD"/>
    <w:rsid w:val="00243BC7"/>
    <w:rsid w:val="00244585"/>
    <w:rsid w:val="00250D89"/>
    <w:rsid w:val="002546FB"/>
    <w:rsid w:val="002623FC"/>
    <w:rsid w:val="00274277"/>
    <w:rsid w:val="002747EC"/>
    <w:rsid w:val="002855BF"/>
    <w:rsid w:val="002868BC"/>
    <w:rsid w:val="002953B2"/>
    <w:rsid w:val="002A5A81"/>
    <w:rsid w:val="002E1692"/>
    <w:rsid w:val="002F0D22"/>
    <w:rsid w:val="002F2CE8"/>
    <w:rsid w:val="002F5942"/>
    <w:rsid w:val="003172DC"/>
    <w:rsid w:val="003238E8"/>
    <w:rsid w:val="00326069"/>
    <w:rsid w:val="00342065"/>
    <w:rsid w:val="003454FC"/>
    <w:rsid w:val="00353B12"/>
    <w:rsid w:val="0035462D"/>
    <w:rsid w:val="00363177"/>
    <w:rsid w:val="003702F7"/>
    <w:rsid w:val="00370F20"/>
    <w:rsid w:val="003717A7"/>
    <w:rsid w:val="00385F81"/>
    <w:rsid w:val="003B3FB3"/>
    <w:rsid w:val="003B5FD6"/>
    <w:rsid w:val="003C4E37"/>
    <w:rsid w:val="003E1194"/>
    <w:rsid w:val="003E16BE"/>
    <w:rsid w:val="003E7223"/>
    <w:rsid w:val="00401855"/>
    <w:rsid w:val="00406760"/>
    <w:rsid w:val="00455983"/>
    <w:rsid w:val="00464695"/>
    <w:rsid w:val="004C53DC"/>
    <w:rsid w:val="004C5539"/>
    <w:rsid w:val="004D3578"/>
    <w:rsid w:val="004D380D"/>
    <w:rsid w:val="004D3F58"/>
    <w:rsid w:val="004D5E47"/>
    <w:rsid w:val="004E0173"/>
    <w:rsid w:val="004E213A"/>
    <w:rsid w:val="004E21FC"/>
    <w:rsid w:val="004E6C01"/>
    <w:rsid w:val="00503171"/>
    <w:rsid w:val="005153FE"/>
    <w:rsid w:val="005240A4"/>
    <w:rsid w:val="00531C12"/>
    <w:rsid w:val="00534DA0"/>
    <w:rsid w:val="005361A0"/>
    <w:rsid w:val="00540B31"/>
    <w:rsid w:val="00543E6C"/>
    <w:rsid w:val="00544635"/>
    <w:rsid w:val="00557E1D"/>
    <w:rsid w:val="005626DD"/>
    <w:rsid w:val="00565087"/>
    <w:rsid w:val="0056573F"/>
    <w:rsid w:val="00565BE9"/>
    <w:rsid w:val="00571CE2"/>
    <w:rsid w:val="0057579F"/>
    <w:rsid w:val="00587958"/>
    <w:rsid w:val="005A4971"/>
    <w:rsid w:val="005B1232"/>
    <w:rsid w:val="005B2EEF"/>
    <w:rsid w:val="005D0F3B"/>
    <w:rsid w:val="005D4274"/>
    <w:rsid w:val="005E3C56"/>
    <w:rsid w:val="005F1BD4"/>
    <w:rsid w:val="00605E3E"/>
    <w:rsid w:val="00606DA9"/>
    <w:rsid w:val="00611566"/>
    <w:rsid w:val="00611D47"/>
    <w:rsid w:val="006327AD"/>
    <w:rsid w:val="006538D4"/>
    <w:rsid w:val="00656E1E"/>
    <w:rsid w:val="006604E4"/>
    <w:rsid w:val="0067782C"/>
    <w:rsid w:val="00697E26"/>
    <w:rsid w:val="006B36A5"/>
    <w:rsid w:val="006B3E5D"/>
    <w:rsid w:val="006C54B5"/>
    <w:rsid w:val="006D1E24"/>
    <w:rsid w:val="00702BDF"/>
    <w:rsid w:val="007304F5"/>
    <w:rsid w:val="00734A5B"/>
    <w:rsid w:val="00741EC5"/>
    <w:rsid w:val="00743525"/>
    <w:rsid w:val="00744E76"/>
    <w:rsid w:val="007476DB"/>
    <w:rsid w:val="00756B13"/>
    <w:rsid w:val="00757D40"/>
    <w:rsid w:val="00763628"/>
    <w:rsid w:val="00767CDA"/>
    <w:rsid w:val="0077054F"/>
    <w:rsid w:val="00774846"/>
    <w:rsid w:val="00776271"/>
    <w:rsid w:val="00781F0F"/>
    <w:rsid w:val="0078727C"/>
    <w:rsid w:val="00797225"/>
    <w:rsid w:val="00797D4B"/>
    <w:rsid w:val="007C095F"/>
    <w:rsid w:val="007C36EF"/>
    <w:rsid w:val="007D5902"/>
    <w:rsid w:val="007E1F12"/>
    <w:rsid w:val="007E4746"/>
    <w:rsid w:val="007F2676"/>
    <w:rsid w:val="007F3F5F"/>
    <w:rsid w:val="00802106"/>
    <w:rsid w:val="008028A4"/>
    <w:rsid w:val="00806520"/>
    <w:rsid w:val="008223CA"/>
    <w:rsid w:val="00830106"/>
    <w:rsid w:val="00840916"/>
    <w:rsid w:val="008415DA"/>
    <w:rsid w:val="00853EDD"/>
    <w:rsid w:val="008604EE"/>
    <w:rsid w:val="00865B05"/>
    <w:rsid w:val="0087401D"/>
    <w:rsid w:val="008768CA"/>
    <w:rsid w:val="00880559"/>
    <w:rsid w:val="00886DF6"/>
    <w:rsid w:val="008975A9"/>
    <w:rsid w:val="008A79DE"/>
    <w:rsid w:val="008C2420"/>
    <w:rsid w:val="008C2835"/>
    <w:rsid w:val="008C490B"/>
    <w:rsid w:val="0090271F"/>
    <w:rsid w:val="00903D8C"/>
    <w:rsid w:val="00904D26"/>
    <w:rsid w:val="00917051"/>
    <w:rsid w:val="009321BB"/>
    <w:rsid w:val="00942EC2"/>
    <w:rsid w:val="00952D8F"/>
    <w:rsid w:val="00954BCB"/>
    <w:rsid w:val="00961B32"/>
    <w:rsid w:val="00971683"/>
    <w:rsid w:val="00972FD7"/>
    <w:rsid w:val="00974BB0"/>
    <w:rsid w:val="009A6E4F"/>
    <w:rsid w:val="009B36EB"/>
    <w:rsid w:val="009B4F59"/>
    <w:rsid w:val="009C4046"/>
    <w:rsid w:val="009C4D5C"/>
    <w:rsid w:val="009D0A28"/>
    <w:rsid w:val="009F3B54"/>
    <w:rsid w:val="009F75AB"/>
    <w:rsid w:val="009F7E6E"/>
    <w:rsid w:val="00A10F02"/>
    <w:rsid w:val="00A2199E"/>
    <w:rsid w:val="00A4298B"/>
    <w:rsid w:val="00A53724"/>
    <w:rsid w:val="00A61FEF"/>
    <w:rsid w:val="00A64C87"/>
    <w:rsid w:val="00A80B02"/>
    <w:rsid w:val="00A82346"/>
    <w:rsid w:val="00A8361A"/>
    <w:rsid w:val="00A9671C"/>
    <w:rsid w:val="00AB6AAB"/>
    <w:rsid w:val="00AD4BCF"/>
    <w:rsid w:val="00AF4A8E"/>
    <w:rsid w:val="00AF78D5"/>
    <w:rsid w:val="00B03810"/>
    <w:rsid w:val="00B1063A"/>
    <w:rsid w:val="00B15449"/>
    <w:rsid w:val="00B41851"/>
    <w:rsid w:val="00B42422"/>
    <w:rsid w:val="00B503D9"/>
    <w:rsid w:val="00B6745D"/>
    <w:rsid w:val="00B9781E"/>
    <w:rsid w:val="00BA6755"/>
    <w:rsid w:val="00BD5F05"/>
    <w:rsid w:val="00BF79F1"/>
    <w:rsid w:val="00C03035"/>
    <w:rsid w:val="00C275BC"/>
    <w:rsid w:val="00C33079"/>
    <w:rsid w:val="00C365F1"/>
    <w:rsid w:val="00C43B31"/>
    <w:rsid w:val="00C50536"/>
    <w:rsid w:val="00C55EB7"/>
    <w:rsid w:val="00C805B8"/>
    <w:rsid w:val="00C866E9"/>
    <w:rsid w:val="00C92571"/>
    <w:rsid w:val="00CA276C"/>
    <w:rsid w:val="00CA3D0C"/>
    <w:rsid w:val="00CB6651"/>
    <w:rsid w:val="00CB6887"/>
    <w:rsid w:val="00CC64B4"/>
    <w:rsid w:val="00CD41C2"/>
    <w:rsid w:val="00CD4C7B"/>
    <w:rsid w:val="00D22038"/>
    <w:rsid w:val="00D23014"/>
    <w:rsid w:val="00D45717"/>
    <w:rsid w:val="00D738D6"/>
    <w:rsid w:val="00D764AE"/>
    <w:rsid w:val="00D80795"/>
    <w:rsid w:val="00D80BE8"/>
    <w:rsid w:val="00D82770"/>
    <w:rsid w:val="00D87E00"/>
    <w:rsid w:val="00D908B4"/>
    <w:rsid w:val="00D90D48"/>
    <w:rsid w:val="00D9134D"/>
    <w:rsid w:val="00D97CD9"/>
    <w:rsid w:val="00DA1CA9"/>
    <w:rsid w:val="00DA5329"/>
    <w:rsid w:val="00DA7A03"/>
    <w:rsid w:val="00DB1818"/>
    <w:rsid w:val="00DC1445"/>
    <w:rsid w:val="00DC309B"/>
    <w:rsid w:val="00DC4DA2"/>
    <w:rsid w:val="00DE1406"/>
    <w:rsid w:val="00DE532C"/>
    <w:rsid w:val="00E0084C"/>
    <w:rsid w:val="00E07838"/>
    <w:rsid w:val="00E305A4"/>
    <w:rsid w:val="00E340BC"/>
    <w:rsid w:val="00E51135"/>
    <w:rsid w:val="00E51F8B"/>
    <w:rsid w:val="00E62835"/>
    <w:rsid w:val="00E77645"/>
    <w:rsid w:val="00E852FF"/>
    <w:rsid w:val="00E90ABE"/>
    <w:rsid w:val="00EA1D56"/>
    <w:rsid w:val="00EA22F8"/>
    <w:rsid w:val="00EC4A25"/>
    <w:rsid w:val="00ED0D91"/>
    <w:rsid w:val="00ED1751"/>
    <w:rsid w:val="00ED7F72"/>
    <w:rsid w:val="00EE022B"/>
    <w:rsid w:val="00EE0A1E"/>
    <w:rsid w:val="00EF2DFA"/>
    <w:rsid w:val="00F025A2"/>
    <w:rsid w:val="00F2026E"/>
    <w:rsid w:val="00F2210A"/>
    <w:rsid w:val="00F37743"/>
    <w:rsid w:val="00F54114"/>
    <w:rsid w:val="00F54A3D"/>
    <w:rsid w:val="00F653B8"/>
    <w:rsid w:val="00F6620F"/>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b">
    <w:name w:val="Normal (Web)"/>
    <w:basedOn w:val="a"/>
    <w:uiPriority w:val="99"/>
    <w:unhideWhenUsed/>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5413A-0BEA-40CE-86B4-CDBFF30EB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830</Words>
  <Characters>4737</Characters>
  <Application>Microsoft Office Word</Application>
  <DocSecurity>0</DocSecurity>
  <Lines>39</Lines>
  <Paragraphs>11</Paragraphs>
  <ScaleCrop>false</ScaleCrop>
  <Company/>
  <LinksUpToDate>false</LinksUpToDate>
  <CharactersWithSpaces>5556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2022-08-09T06:22:00Z</dcterms:created>
  <dcterms:modified xsi:type="dcterms:W3CDTF">2022-08-09T06:22:00Z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